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1410"/>
        <w:gridCol w:w="7950"/>
      </w:tblGrid>
      <w:tr w:rsidR="00FD0532" w:rsidRPr="00FD0532" w:rsidTr="00FD0532">
        <w:trPr>
          <w:trHeight w:val="600"/>
          <w:tblCellSpacing w:w="0" w:type="dxa"/>
        </w:trPr>
        <w:tc>
          <w:tcPr>
            <w:tcW w:w="0" w:type="auto"/>
            <w:vAlign w:val="center"/>
            <w:hideMark/>
          </w:tcPr>
          <w:p w:rsidR="00FD0532" w:rsidRPr="00FD0532" w:rsidRDefault="00FD0532" w:rsidP="00FD0532">
            <w:pPr>
              <w:rPr>
                <w:rFonts w:ascii="Arial" w:eastAsia="Times New Roman" w:hAnsi="Arial" w:cs="Arial"/>
                <w:b/>
                <w:bCs/>
                <w:color w:val="333399"/>
                <w:sz w:val="21"/>
                <w:szCs w:val="21"/>
              </w:rPr>
            </w:pPr>
            <w:r w:rsidRPr="00FD0532">
              <w:rPr>
                <w:rFonts w:ascii="Arial" w:eastAsia="Times New Roman" w:hAnsi="Arial" w:cs="Arial"/>
                <w:b/>
                <w:bCs/>
                <w:color w:val="333399"/>
                <w:sz w:val="21"/>
                <w:szCs w:val="21"/>
              </w:rPr>
              <w:t>Glossary</w:t>
            </w:r>
          </w:p>
        </w:tc>
        <w:tc>
          <w:tcPr>
            <w:tcW w:w="0" w:type="auto"/>
            <w:vAlign w:val="center"/>
            <w:hideMark/>
          </w:tcPr>
          <w:p w:rsidR="00FD0532" w:rsidRPr="00FD0532" w:rsidRDefault="00FD0532" w:rsidP="00FD0532">
            <w:pPr>
              <w:rPr>
                <w:rFonts w:ascii="Arial" w:eastAsia="Times New Roman" w:hAnsi="Arial" w:cs="Arial"/>
                <w:b/>
                <w:bCs/>
                <w:color w:val="333399"/>
                <w:sz w:val="21"/>
                <w:szCs w:val="21"/>
              </w:rPr>
            </w:pPr>
          </w:p>
        </w:tc>
      </w:tr>
      <w:tr w:rsidR="00FD0532" w:rsidRPr="00FD0532" w:rsidTr="00FD0532">
        <w:trPr>
          <w:tblCellSpacing w:w="0" w:type="dxa"/>
        </w:trPr>
        <w:tc>
          <w:tcPr>
            <w:tcW w:w="0" w:type="auto"/>
            <w:shd w:val="clear" w:color="auto" w:fill="DDDDDD"/>
            <w:vAlign w:val="center"/>
            <w:hideMark/>
          </w:tcPr>
          <w:p w:rsidR="00FD0532" w:rsidRPr="00FD0532" w:rsidRDefault="00FD0532" w:rsidP="00FD0532">
            <w:pPr>
              <w:rPr>
                <w:rFonts w:ascii="Arial" w:eastAsia="Times New Roman" w:hAnsi="Arial" w:cs="Arial"/>
                <w:b/>
                <w:bCs/>
                <w:color w:val="000000"/>
                <w:sz w:val="18"/>
                <w:szCs w:val="18"/>
              </w:rPr>
            </w:pPr>
            <w:r w:rsidRPr="00FD0532">
              <w:rPr>
                <w:rFonts w:ascii="Arial" w:eastAsia="Times New Roman" w:hAnsi="Arial" w:cs="Arial"/>
                <w:b/>
                <w:bCs/>
                <w:color w:val="000000"/>
                <w:sz w:val="18"/>
                <w:szCs w:val="18"/>
              </w:rPr>
              <w:t>Chapter 20</w:t>
            </w:r>
          </w:p>
        </w:tc>
        <w:tc>
          <w:tcPr>
            <w:tcW w:w="0" w:type="auto"/>
            <w:shd w:val="clear" w:color="auto" w:fill="DDDDDD"/>
            <w:vAlign w:val="center"/>
            <w:hideMark/>
          </w:tcPr>
          <w:p w:rsidR="00FD0532" w:rsidRPr="00FD0532" w:rsidRDefault="00FD0532" w:rsidP="00FD0532">
            <w:pPr>
              <w:rPr>
                <w:rFonts w:ascii="Arial" w:eastAsia="Times New Roman" w:hAnsi="Arial" w:cs="Arial"/>
                <w:b/>
                <w:bCs/>
                <w:color w:val="000000"/>
                <w:sz w:val="18"/>
                <w:szCs w:val="18"/>
              </w:rPr>
            </w:pPr>
          </w:p>
        </w:tc>
      </w:tr>
      <w:tr w:rsidR="00FD0532" w:rsidRPr="00FD0532" w:rsidTr="00FD0532">
        <w:trPr>
          <w:tblCellSpacing w:w="0" w:type="dxa"/>
        </w:trPr>
        <w:tc>
          <w:tcPr>
            <w:tcW w:w="750" w:type="pct"/>
            <w:hideMark/>
          </w:tcPr>
          <w:p w:rsidR="00FD0532" w:rsidRPr="00FD0532" w:rsidRDefault="00FD0532" w:rsidP="00FD0532">
            <w:pPr>
              <w:rPr>
                <w:rFonts w:ascii="Arial" w:eastAsia="Times New Roman" w:hAnsi="Arial" w:cs="Arial"/>
                <w:b/>
                <w:bCs/>
                <w:color w:val="000000"/>
                <w:sz w:val="18"/>
                <w:szCs w:val="18"/>
              </w:rPr>
            </w:pPr>
            <w:r w:rsidRPr="00FD0532">
              <w:rPr>
                <w:rFonts w:ascii="Arial" w:eastAsia="Times New Roman" w:hAnsi="Arial" w:cs="Arial"/>
                <w:b/>
                <w:bCs/>
                <w:color w:val="000000"/>
                <w:sz w:val="18"/>
                <w:szCs w:val="18"/>
              </w:rPr>
              <w:t>cultural eutrophication</w:t>
            </w:r>
          </w:p>
        </w:tc>
        <w:tc>
          <w:tcPr>
            <w:tcW w:w="0" w:type="auto"/>
            <w:vAlign w:val="center"/>
            <w:hideMark/>
          </w:tcPr>
          <w:p w:rsidR="00FD0532" w:rsidRPr="00FD0532" w:rsidRDefault="00FD0532" w:rsidP="00FD0532">
            <w:pPr>
              <w:rPr>
                <w:rFonts w:ascii="Arial" w:eastAsia="Times New Roman" w:hAnsi="Arial" w:cs="Arial"/>
                <w:color w:val="000000"/>
                <w:sz w:val="18"/>
                <w:szCs w:val="18"/>
              </w:rPr>
            </w:pPr>
            <w:proofErr w:type="spellStart"/>
            <w:r w:rsidRPr="00FD0532">
              <w:rPr>
                <w:rFonts w:ascii="Arial" w:eastAsia="Times New Roman" w:hAnsi="Arial" w:cs="Arial"/>
                <w:color w:val="000000"/>
                <w:sz w:val="18"/>
                <w:szCs w:val="18"/>
              </w:rPr>
              <w:t>Overnourishment</w:t>
            </w:r>
            <w:proofErr w:type="spellEnd"/>
            <w:r w:rsidRPr="00FD0532">
              <w:rPr>
                <w:rFonts w:ascii="Arial" w:eastAsia="Times New Roman" w:hAnsi="Arial" w:cs="Arial"/>
                <w:color w:val="000000"/>
                <w:sz w:val="18"/>
                <w:szCs w:val="18"/>
              </w:rPr>
              <w:t xml:space="preserve"> of aquatic ecosystems with plant nutrients (mostly nitrates and phosphates) because of human activities such as agriculture, urbanization, and discharges from industrial plants and sewage treatment plants. See eutrophication.</w:t>
            </w:r>
          </w:p>
        </w:tc>
      </w:tr>
      <w:tr w:rsidR="00FD0532" w:rsidRPr="00FD0532" w:rsidTr="00FD0532">
        <w:trPr>
          <w:tblCellSpacing w:w="0" w:type="dxa"/>
        </w:trPr>
        <w:tc>
          <w:tcPr>
            <w:tcW w:w="750" w:type="pct"/>
            <w:hideMark/>
          </w:tcPr>
          <w:p w:rsidR="00FD0532" w:rsidRPr="00FD0532" w:rsidRDefault="00FD0532" w:rsidP="00FD0532">
            <w:pPr>
              <w:rPr>
                <w:rFonts w:ascii="Arial" w:eastAsia="Times New Roman" w:hAnsi="Arial" w:cs="Arial"/>
                <w:b/>
                <w:bCs/>
                <w:color w:val="000000"/>
                <w:sz w:val="18"/>
                <w:szCs w:val="18"/>
              </w:rPr>
            </w:pPr>
            <w:r w:rsidRPr="00FD0532">
              <w:rPr>
                <w:rFonts w:ascii="Arial" w:eastAsia="Times New Roman" w:hAnsi="Arial" w:cs="Arial"/>
                <w:b/>
                <w:bCs/>
                <w:color w:val="000000"/>
                <w:sz w:val="18"/>
                <w:szCs w:val="18"/>
              </w:rPr>
              <w:t>dissolved oxygen (DO) content</w:t>
            </w:r>
          </w:p>
        </w:tc>
        <w:tc>
          <w:tcPr>
            <w:tcW w:w="0" w:type="auto"/>
            <w:vAlign w:val="center"/>
            <w:hideMark/>
          </w:tcPr>
          <w:p w:rsidR="00FD0532" w:rsidRPr="00FD0532" w:rsidRDefault="00FD0532" w:rsidP="00FD0532">
            <w:pPr>
              <w:rPr>
                <w:rFonts w:ascii="Arial" w:eastAsia="Times New Roman" w:hAnsi="Arial" w:cs="Arial"/>
                <w:color w:val="000000"/>
                <w:sz w:val="18"/>
                <w:szCs w:val="18"/>
              </w:rPr>
            </w:pPr>
            <w:r w:rsidRPr="00FD0532">
              <w:rPr>
                <w:rFonts w:ascii="Arial" w:eastAsia="Times New Roman" w:hAnsi="Arial" w:cs="Arial"/>
                <w:color w:val="000000"/>
                <w:sz w:val="18"/>
                <w:szCs w:val="18"/>
              </w:rPr>
              <w:t>Amount of oxygen gas (O2) dissolved in a given volume of water at a particular temperature and pressure, often expressed as a concentration in parts of oxygen per million parts of water.</w:t>
            </w:r>
          </w:p>
        </w:tc>
      </w:tr>
      <w:tr w:rsidR="00FD0532" w:rsidRPr="00FD0532" w:rsidTr="00FD0532">
        <w:trPr>
          <w:tblCellSpacing w:w="0" w:type="dxa"/>
        </w:trPr>
        <w:tc>
          <w:tcPr>
            <w:tcW w:w="750" w:type="pct"/>
            <w:hideMark/>
          </w:tcPr>
          <w:p w:rsidR="00FD0532" w:rsidRPr="00FD0532" w:rsidRDefault="00FD0532" w:rsidP="00FD0532">
            <w:pPr>
              <w:rPr>
                <w:rFonts w:ascii="Arial" w:eastAsia="Times New Roman" w:hAnsi="Arial" w:cs="Arial"/>
                <w:b/>
                <w:bCs/>
                <w:color w:val="000000"/>
                <w:sz w:val="18"/>
                <w:szCs w:val="18"/>
              </w:rPr>
            </w:pPr>
            <w:r w:rsidRPr="00FD0532">
              <w:rPr>
                <w:rFonts w:ascii="Arial" w:eastAsia="Times New Roman" w:hAnsi="Arial" w:cs="Arial"/>
                <w:b/>
                <w:bCs/>
                <w:color w:val="000000"/>
                <w:sz w:val="18"/>
                <w:szCs w:val="18"/>
              </w:rPr>
              <w:t>eutrophication</w:t>
            </w:r>
          </w:p>
        </w:tc>
        <w:tc>
          <w:tcPr>
            <w:tcW w:w="0" w:type="auto"/>
            <w:vAlign w:val="center"/>
            <w:hideMark/>
          </w:tcPr>
          <w:p w:rsidR="00FD0532" w:rsidRPr="00FD0532" w:rsidRDefault="00FD0532" w:rsidP="00FD0532">
            <w:pPr>
              <w:rPr>
                <w:rFonts w:ascii="Arial" w:eastAsia="Times New Roman" w:hAnsi="Arial" w:cs="Arial"/>
                <w:color w:val="000000"/>
                <w:sz w:val="18"/>
                <w:szCs w:val="18"/>
              </w:rPr>
            </w:pPr>
            <w:r w:rsidRPr="00FD0532">
              <w:rPr>
                <w:rFonts w:ascii="Arial" w:eastAsia="Times New Roman" w:hAnsi="Arial" w:cs="Arial"/>
                <w:color w:val="000000"/>
                <w:sz w:val="18"/>
                <w:szCs w:val="18"/>
              </w:rPr>
              <w:t xml:space="preserve">Physical, chemical, and biological changes that take place after a lake, estuary, or slow-flowing stream receives inputs of plant </w:t>
            </w:r>
            <w:proofErr w:type="spellStart"/>
            <w:proofErr w:type="gramStart"/>
            <w:r w:rsidRPr="00FD0532">
              <w:rPr>
                <w:rFonts w:ascii="Arial" w:eastAsia="Times New Roman" w:hAnsi="Arial" w:cs="Arial"/>
                <w:color w:val="000000"/>
                <w:sz w:val="18"/>
                <w:szCs w:val="18"/>
              </w:rPr>
              <w:t>nutrients?mostly</w:t>
            </w:r>
            <w:proofErr w:type="spellEnd"/>
            <w:proofErr w:type="gramEnd"/>
            <w:r w:rsidRPr="00FD0532">
              <w:rPr>
                <w:rFonts w:ascii="Arial" w:eastAsia="Times New Roman" w:hAnsi="Arial" w:cs="Arial"/>
                <w:color w:val="000000"/>
                <w:sz w:val="18"/>
                <w:szCs w:val="18"/>
              </w:rPr>
              <w:t xml:space="preserve"> nitrates and </w:t>
            </w:r>
            <w:proofErr w:type="spellStart"/>
            <w:r w:rsidRPr="00FD0532">
              <w:rPr>
                <w:rFonts w:ascii="Arial" w:eastAsia="Times New Roman" w:hAnsi="Arial" w:cs="Arial"/>
                <w:color w:val="000000"/>
                <w:sz w:val="18"/>
                <w:szCs w:val="18"/>
              </w:rPr>
              <w:t>phosphates?from</w:t>
            </w:r>
            <w:proofErr w:type="spellEnd"/>
            <w:r w:rsidRPr="00FD0532">
              <w:rPr>
                <w:rFonts w:ascii="Arial" w:eastAsia="Times New Roman" w:hAnsi="Arial" w:cs="Arial"/>
                <w:color w:val="000000"/>
                <w:sz w:val="18"/>
                <w:szCs w:val="18"/>
              </w:rPr>
              <w:t xml:space="preserve"> natural erosion and runoff from the surrounding land basin. See cultural eutrophication.</w:t>
            </w:r>
          </w:p>
        </w:tc>
      </w:tr>
      <w:tr w:rsidR="00FD0532" w:rsidRPr="00FD0532" w:rsidTr="00FD0532">
        <w:trPr>
          <w:tblCellSpacing w:w="0" w:type="dxa"/>
        </w:trPr>
        <w:tc>
          <w:tcPr>
            <w:tcW w:w="750" w:type="pct"/>
            <w:hideMark/>
          </w:tcPr>
          <w:p w:rsidR="00FD0532" w:rsidRPr="00FD0532" w:rsidRDefault="00FD0532" w:rsidP="00FD0532">
            <w:pPr>
              <w:rPr>
                <w:rFonts w:ascii="Arial" w:eastAsia="Times New Roman" w:hAnsi="Arial" w:cs="Arial"/>
                <w:b/>
                <w:bCs/>
                <w:color w:val="000000"/>
                <w:sz w:val="18"/>
                <w:szCs w:val="18"/>
              </w:rPr>
            </w:pPr>
            <w:r w:rsidRPr="00FD0532">
              <w:rPr>
                <w:rFonts w:ascii="Arial" w:eastAsia="Times New Roman" w:hAnsi="Arial" w:cs="Arial"/>
                <w:b/>
                <w:bCs/>
                <w:color w:val="000000"/>
                <w:sz w:val="18"/>
                <w:szCs w:val="18"/>
              </w:rPr>
              <w:t>primary sewage treatment</w:t>
            </w:r>
          </w:p>
        </w:tc>
        <w:tc>
          <w:tcPr>
            <w:tcW w:w="0" w:type="auto"/>
            <w:vAlign w:val="center"/>
            <w:hideMark/>
          </w:tcPr>
          <w:p w:rsidR="00FD0532" w:rsidRPr="00FD0532" w:rsidRDefault="00FD0532" w:rsidP="00FD0532">
            <w:pPr>
              <w:rPr>
                <w:rFonts w:ascii="Arial" w:eastAsia="Times New Roman" w:hAnsi="Arial" w:cs="Arial"/>
                <w:color w:val="000000"/>
                <w:sz w:val="18"/>
                <w:szCs w:val="18"/>
              </w:rPr>
            </w:pPr>
            <w:r w:rsidRPr="00FD0532">
              <w:rPr>
                <w:rFonts w:ascii="Arial" w:eastAsia="Times New Roman" w:hAnsi="Arial" w:cs="Arial"/>
                <w:color w:val="000000"/>
                <w:sz w:val="18"/>
                <w:szCs w:val="18"/>
              </w:rPr>
              <w:t>Mechanical sewage treatment in which large solids are filtered out by screens and suspended solids settle out as sludge in a sedimentation tank. Compare secondary sewage treatment.</w:t>
            </w:r>
          </w:p>
        </w:tc>
      </w:tr>
      <w:tr w:rsidR="00FD0532" w:rsidRPr="00FD0532" w:rsidTr="00FD0532">
        <w:trPr>
          <w:tblCellSpacing w:w="0" w:type="dxa"/>
        </w:trPr>
        <w:tc>
          <w:tcPr>
            <w:tcW w:w="750" w:type="pct"/>
            <w:hideMark/>
          </w:tcPr>
          <w:p w:rsidR="00FD0532" w:rsidRPr="00FD0532" w:rsidRDefault="00FD0532" w:rsidP="00FD0532">
            <w:pPr>
              <w:rPr>
                <w:rFonts w:ascii="Arial" w:eastAsia="Times New Roman" w:hAnsi="Arial" w:cs="Arial"/>
                <w:b/>
                <w:bCs/>
                <w:color w:val="000000"/>
                <w:sz w:val="18"/>
                <w:szCs w:val="18"/>
              </w:rPr>
            </w:pPr>
            <w:r w:rsidRPr="00FD0532">
              <w:rPr>
                <w:rFonts w:ascii="Arial" w:eastAsia="Times New Roman" w:hAnsi="Arial" w:cs="Arial"/>
                <w:b/>
                <w:bCs/>
                <w:color w:val="000000"/>
                <w:sz w:val="18"/>
                <w:szCs w:val="18"/>
              </w:rPr>
              <w:t>secondary sewage treatment</w:t>
            </w:r>
          </w:p>
        </w:tc>
        <w:tc>
          <w:tcPr>
            <w:tcW w:w="0" w:type="auto"/>
            <w:vAlign w:val="center"/>
            <w:hideMark/>
          </w:tcPr>
          <w:p w:rsidR="00FD0532" w:rsidRPr="00FD0532" w:rsidRDefault="00FD0532" w:rsidP="00FD0532">
            <w:pPr>
              <w:rPr>
                <w:rFonts w:ascii="Arial" w:eastAsia="Times New Roman" w:hAnsi="Arial" w:cs="Arial"/>
                <w:color w:val="000000"/>
                <w:sz w:val="18"/>
                <w:szCs w:val="18"/>
              </w:rPr>
            </w:pPr>
            <w:r w:rsidRPr="00FD0532">
              <w:rPr>
                <w:rFonts w:ascii="Arial" w:eastAsia="Times New Roman" w:hAnsi="Arial" w:cs="Arial"/>
                <w:color w:val="000000"/>
                <w:sz w:val="18"/>
                <w:szCs w:val="18"/>
              </w:rPr>
              <w:t>Second step in most waste treatment systems in which aerobic bacteria decompose as much as 90% of degradable, oxygen-demanding organic wastes in wastewater. It usually involves bringing sewage and bacteria together in trickling filters or in the activated sludge process. Compare primary sewage treatment.</w:t>
            </w:r>
          </w:p>
        </w:tc>
      </w:tr>
      <w:tr w:rsidR="00FD0532" w:rsidRPr="00FD0532" w:rsidTr="00FD0532">
        <w:trPr>
          <w:tblCellSpacing w:w="0" w:type="dxa"/>
        </w:trPr>
        <w:tc>
          <w:tcPr>
            <w:tcW w:w="750" w:type="pct"/>
            <w:hideMark/>
          </w:tcPr>
          <w:p w:rsidR="00FD0532" w:rsidRPr="00FD0532" w:rsidRDefault="00FD0532" w:rsidP="00FD0532">
            <w:pPr>
              <w:rPr>
                <w:rFonts w:ascii="Arial" w:eastAsia="Times New Roman" w:hAnsi="Arial" w:cs="Arial"/>
                <w:b/>
                <w:bCs/>
                <w:color w:val="000000"/>
                <w:sz w:val="18"/>
                <w:szCs w:val="18"/>
              </w:rPr>
            </w:pPr>
            <w:r w:rsidRPr="00FD0532">
              <w:rPr>
                <w:rFonts w:ascii="Arial" w:eastAsia="Times New Roman" w:hAnsi="Arial" w:cs="Arial"/>
                <w:b/>
                <w:bCs/>
                <w:color w:val="000000"/>
                <w:sz w:val="18"/>
                <w:szCs w:val="18"/>
              </w:rPr>
              <w:t>septic tank</w:t>
            </w:r>
          </w:p>
        </w:tc>
        <w:tc>
          <w:tcPr>
            <w:tcW w:w="0" w:type="auto"/>
            <w:vAlign w:val="center"/>
            <w:hideMark/>
          </w:tcPr>
          <w:p w:rsidR="00FD0532" w:rsidRPr="00FD0532" w:rsidRDefault="00FD0532" w:rsidP="00FD0532">
            <w:pPr>
              <w:rPr>
                <w:rFonts w:ascii="Arial" w:eastAsia="Times New Roman" w:hAnsi="Arial" w:cs="Arial"/>
                <w:color w:val="000000"/>
                <w:sz w:val="18"/>
                <w:szCs w:val="18"/>
              </w:rPr>
            </w:pPr>
            <w:r w:rsidRPr="00FD0532">
              <w:rPr>
                <w:rFonts w:ascii="Arial" w:eastAsia="Times New Roman" w:hAnsi="Arial" w:cs="Arial"/>
                <w:color w:val="000000"/>
                <w:sz w:val="18"/>
                <w:szCs w:val="18"/>
              </w:rPr>
              <w:t>Underground tank for treating wastewater from a home in rural and suburban areas. Bacteria in the tank decompose organic wastes, and the sludge settles to the bottom of the tank. The effluent flows out of the tank into the ground through a field of drainpipes.</w:t>
            </w:r>
          </w:p>
        </w:tc>
      </w:tr>
      <w:tr w:rsidR="00FD0532" w:rsidRPr="00FD0532" w:rsidTr="00FD0532">
        <w:trPr>
          <w:tblCellSpacing w:w="0" w:type="dxa"/>
        </w:trPr>
        <w:tc>
          <w:tcPr>
            <w:tcW w:w="750" w:type="pct"/>
            <w:hideMark/>
          </w:tcPr>
          <w:p w:rsidR="00FD0532" w:rsidRPr="00FD0532" w:rsidRDefault="00FD0532" w:rsidP="00FD0532">
            <w:pPr>
              <w:rPr>
                <w:rFonts w:ascii="Arial" w:eastAsia="Times New Roman" w:hAnsi="Arial" w:cs="Arial"/>
                <w:b/>
                <w:bCs/>
                <w:color w:val="000000"/>
                <w:sz w:val="18"/>
                <w:szCs w:val="18"/>
              </w:rPr>
            </w:pPr>
            <w:r w:rsidRPr="00FD0532">
              <w:rPr>
                <w:rFonts w:ascii="Arial" w:eastAsia="Times New Roman" w:hAnsi="Arial" w:cs="Arial"/>
                <w:b/>
                <w:bCs/>
                <w:color w:val="000000"/>
                <w:sz w:val="18"/>
                <w:szCs w:val="18"/>
              </w:rPr>
              <w:t>turbidity</w:t>
            </w:r>
          </w:p>
        </w:tc>
        <w:tc>
          <w:tcPr>
            <w:tcW w:w="0" w:type="auto"/>
            <w:vAlign w:val="center"/>
            <w:hideMark/>
          </w:tcPr>
          <w:p w:rsidR="00FD0532" w:rsidRPr="00FD0532" w:rsidRDefault="00FD0532" w:rsidP="00FD0532">
            <w:pPr>
              <w:rPr>
                <w:rFonts w:ascii="Arial" w:eastAsia="Times New Roman" w:hAnsi="Arial" w:cs="Arial"/>
                <w:color w:val="000000"/>
                <w:sz w:val="18"/>
                <w:szCs w:val="18"/>
              </w:rPr>
            </w:pPr>
            <w:r w:rsidRPr="00FD0532">
              <w:rPr>
                <w:rFonts w:ascii="Arial" w:eastAsia="Times New Roman" w:hAnsi="Arial" w:cs="Arial"/>
                <w:color w:val="000000"/>
                <w:sz w:val="18"/>
                <w:szCs w:val="18"/>
              </w:rPr>
              <w:t>Cloudiness in a volume of water; a measure of water clarity in lakes, streams, and other bodies of water.</w:t>
            </w:r>
          </w:p>
        </w:tc>
      </w:tr>
      <w:tr w:rsidR="00FD0532" w:rsidRPr="00FD0532" w:rsidTr="00FD0532">
        <w:trPr>
          <w:tblCellSpacing w:w="0" w:type="dxa"/>
        </w:trPr>
        <w:tc>
          <w:tcPr>
            <w:tcW w:w="750" w:type="pct"/>
            <w:hideMark/>
          </w:tcPr>
          <w:p w:rsidR="00FD0532" w:rsidRPr="00FD0532" w:rsidRDefault="00FD0532" w:rsidP="00FD0532">
            <w:pPr>
              <w:rPr>
                <w:rFonts w:ascii="Arial" w:eastAsia="Times New Roman" w:hAnsi="Arial" w:cs="Arial"/>
                <w:b/>
                <w:bCs/>
                <w:color w:val="000000"/>
                <w:sz w:val="18"/>
                <w:szCs w:val="18"/>
              </w:rPr>
            </w:pPr>
            <w:r w:rsidRPr="00FD0532">
              <w:rPr>
                <w:rFonts w:ascii="Arial" w:eastAsia="Times New Roman" w:hAnsi="Arial" w:cs="Arial"/>
                <w:b/>
                <w:bCs/>
                <w:color w:val="000000"/>
                <w:sz w:val="18"/>
                <w:szCs w:val="18"/>
              </w:rPr>
              <w:t>water pollution</w:t>
            </w:r>
          </w:p>
        </w:tc>
        <w:tc>
          <w:tcPr>
            <w:tcW w:w="0" w:type="auto"/>
            <w:vAlign w:val="center"/>
            <w:hideMark/>
          </w:tcPr>
          <w:p w:rsidR="00FD0532" w:rsidRPr="00FD0532" w:rsidRDefault="00FD0532" w:rsidP="00FD0532">
            <w:pPr>
              <w:rPr>
                <w:rFonts w:ascii="Arial" w:eastAsia="Times New Roman" w:hAnsi="Arial" w:cs="Arial"/>
                <w:color w:val="000000"/>
                <w:sz w:val="18"/>
                <w:szCs w:val="18"/>
              </w:rPr>
            </w:pPr>
            <w:r w:rsidRPr="00FD0532">
              <w:rPr>
                <w:rFonts w:ascii="Arial" w:eastAsia="Times New Roman" w:hAnsi="Arial" w:cs="Arial"/>
                <w:color w:val="000000"/>
                <w:sz w:val="18"/>
                <w:szCs w:val="18"/>
              </w:rPr>
              <w:t>Any physical or chemical change in surface water or groundwater that can harm living organisms or make water unfit for certain uses.</w:t>
            </w:r>
          </w:p>
        </w:tc>
      </w:tr>
    </w:tbl>
    <w:p w:rsidR="00FB740F" w:rsidRDefault="00FD0532">
      <w:bookmarkStart w:id="0" w:name="_GoBack"/>
      <w:bookmarkEnd w:id="0"/>
    </w:p>
    <w:sectPr w:rsidR="00FB740F" w:rsidSect="00D47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532"/>
    <w:rsid w:val="00295585"/>
    <w:rsid w:val="00D475CD"/>
    <w:rsid w:val="00FD0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FE9DCDC-D49E-DC4B-A296-7B161838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2020-04-18T19:11:00Z</dcterms:created>
  <dcterms:modified xsi:type="dcterms:W3CDTF">2020-04-18T19:11:00Z</dcterms:modified>
</cp:coreProperties>
</file>