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404"/>
        <w:gridCol w:w="7956"/>
      </w:tblGrid>
      <w:tr w:rsidR="00667526" w:rsidRPr="00667526" w:rsidTr="00667526">
        <w:trPr>
          <w:trHeight w:val="600"/>
          <w:tblCellSpacing w:w="0" w:type="dxa"/>
        </w:trPr>
        <w:tc>
          <w:tcPr>
            <w:tcW w:w="0" w:type="auto"/>
            <w:vAlign w:val="center"/>
            <w:hideMark/>
          </w:tcPr>
          <w:p w:rsidR="00667526" w:rsidRPr="00667526" w:rsidRDefault="00667526" w:rsidP="00667526">
            <w:pPr>
              <w:rPr>
                <w:rFonts w:ascii="Arial" w:eastAsia="Times New Roman" w:hAnsi="Arial" w:cs="Arial"/>
                <w:b/>
                <w:bCs/>
                <w:color w:val="333399"/>
                <w:sz w:val="21"/>
                <w:szCs w:val="21"/>
              </w:rPr>
            </w:pPr>
            <w:r w:rsidRPr="00667526">
              <w:rPr>
                <w:rFonts w:ascii="Arial" w:eastAsia="Times New Roman" w:hAnsi="Arial" w:cs="Arial"/>
                <w:b/>
                <w:bCs/>
                <w:color w:val="333399"/>
                <w:sz w:val="21"/>
                <w:szCs w:val="21"/>
              </w:rPr>
              <w:t>Glossary</w:t>
            </w:r>
          </w:p>
        </w:tc>
        <w:tc>
          <w:tcPr>
            <w:tcW w:w="0" w:type="auto"/>
            <w:vAlign w:val="center"/>
            <w:hideMark/>
          </w:tcPr>
          <w:p w:rsidR="00667526" w:rsidRPr="00667526" w:rsidRDefault="00667526" w:rsidP="00667526">
            <w:pPr>
              <w:rPr>
                <w:rFonts w:ascii="Arial" w:eastAsia="Times New Roman" w:hAnsi="Arial" w:cs="Arial"/>
                <w:b/>
                <w:bCs/>
                <w:color w:val="333399"/>
                <w:sz w:val="21"/>
                <w:szCs w:val="21"/>
              </w:rPr>
            </w:pPr>
          </w:p>
        </w:tc>
      </w:tr>
      <w:tr w:rsidR="00667526" w:rsidRPr="00667526" w:rsidTr="00667526">
        <w:trPr>
          <w:tblCellSpacing w:w="0" w:type="dxa"/>
        </w:trPr>
        <w:tc>
          <w:tcPr>
            <w:tcW w:w="0" w:type="auto"/>
            <w:shd w:val="clear" w:color="auto" w:fill="DDDDDD"/>
            <w:vAlign w:val="center"/>
            <w:hideMark/>
          </w:tcPr>
          <w:p w:rsidR="00667526" w:rsidRPr="00667526" w:rsidRDefault="00667526" w:rsidP="00667526">
            <w:pPr>
              <w:rPr>
                <w:rFonts w:ascii="Arial" w:eastAsia="Times New Roman" w:hAnsi="Arial" w:cs="Arial"/>
                <w:b/>
                <w:bCs/>
                <w:color w:val="000000"/>
                <w:sz w:val="18"/>
                <w:szCs w:val="18"/>
              </w:rPr>
            </w:pPr>
            <w:r w:rsidRPr="00667526">
              <w:rPr>
                <w:rFonts w:ascii="Arial" w:eastAsia="Times New Roman" w:hAnsi="Arial" w:cs="Arial"/>
                <w:b/>
                <w:bCs/>
                <w:color w:val="000000"/>
                <w:sz w:val="18"/>
                <w:szCs w:val="18"/>
              </w:rPr>
              <w:t>Chapter 6</w:t>
            </w:r>
          </w:p>
        </w:tc>
        <w:tc>
          <w:tcPr>
            <w:tcW w:w="0" w:type="auto"/>
            <w:shd w:val="clear" w:color="auto" w:fill="DDDDDD"/>
            <w:vAlign w:val="center"/>
            <w:hideMark/>
          </w:tcPr>
          <w:p w:rsidR="00667526" w:rsidRPr="00667526" w:rsidRDefault="00667526" w:rsidP="00667526">
            <w:pPr>
              <w:rPr>
                <w:rFonts w:ascii="Arial" w:eastAsia="Times New Roman" w:hAnsi="Arial" w:cs="Arial"/>
                <w:b/>
                <w:bCs/>
                <w:color w:val="000000"/>
                <w:sz w:val="18"/>
                <w:szCs w:val="18"/>
              </w:rPr>
            </w:pPr>
          </w:p>
        </w:tc>
      </w:tr>
      <w:tr w:rsidR="00667526" w:rsidRPr="00667526" w:rsidTr="00667526">
        <w:trPr>
          <w:tblCellSpacing w:w="0" w:type="dxa"/>
        </w:trPr>
        <w:tc>
          <w:tcPr>
            <w:tcW w:w="750" w:type="pct"/>
            <w:hideMark/>
          </w:tcPr>
          <w:p w:rsidR="00667526" w:rsidRPr="00667526" w:rsidRDefault="00667526" w:rsidP="00667526">
            <w:pPr>
              <w:rPr>
                <w:rFonts w:ascii="Arial" w:eastAsia="Times New Roman" w:hAnsi="Arial" w:cs="Arial"/>
                <w:b/>
                <w:bCs/>
                <w:color w:val="000000"/>
                <w:sz w:val="18"/>
                <w:szCs w:val="18"/>
              </w:rPr>
            </w:pPr>
            <w:r w:rsidRPr="00667526">
              <w:rPr>
                <w:rFonts w:ascii="Arial" w:eastAsia="Times New Roman" w:hAnsi="Arial" w:cs="Arial"/>
                <w:b/>
                <w:bCs/>
                <w:color w:val="000000"/>
                <w:sz w:val="18"/>
                <w:szCs w:val="18"/>
              </w:rPr>
              <w:t>age structure</w:t>
            </w:r>
          </w:p>
        </w:tc>
        <w:tc>
          <w:tcPr>
            <w:tcW w:w="0" w:type="auto"/>
            <w:vAlign w:val="center"/>
            <w:hideMark/>
          </w:tcPr>
          <w:p w:rsidR="00667526" w:rsidRPr="00667526" w:rsidRDefault="00667526" w:rsidP="00667526">
            <w:pPr>
              <w:rPr>
                <w:rFonts w:ascii="Arial" w:eastAsia="Times New Roman" w:hAnsi="Arial" w:cs="Arial"/>
                <w:color w:val="000000"/>
                <w:sz w:val="18"/>
                <w:szCs w:val="18"/>
              </w:rPr>
            </w:pPr>
            <w:r w:rsidRPr="00667526">
              <w:rPr>
                <w:rFonts w:ascii="Arial" w:eastAsia="Times New Roman" w:hAnsi="Arial" w:cs="Arial"/>
                <w:color w:val="000000"/>
                <w:sz w:val="18"/>
                <w:szCs w:val="18"/>
              </w:rPr>
              <w:t>Percentage of the population (or number of people of each sex) at each age level in a population.</w:t>
            </w:r>
          </w:p>
        </w:tc>
      </w:tr>
      <w:tr w:rsidR="00667526" w:rsidRPr="00667526" w:rsidTr="00667526">
        <w:trPr>
          <w:tblCellSpacing w:w="0" w:type="dxa"/>
        </w:trPr>
        <w:tc>
          <w:tcPr>
            <w:tcW w:w="750" w:type="pct"/>
            <w:hideMark/>
          </w:tcPr>
          <w:p w:rsidR="00667526" w:rsidRPr="00667526" w:rsidRDefault="00667526" w:rsidP="00667526">
            <w:pPr>
              <w:rPr>
                <w:rFonts w:ascii="Arial" w:eastAsia="Times New Roman" w:hAnsi="Arial" w:cs="Arial"/>
                <w:b/>
                <w:bCs/>
                <w:color w:val="000000"/>
                <w:sz w:val="18"/>
                <w:szCs w:val="18"/>
              </w:rPr>
            </w:pPr>
            <w:r w:rsidRPr="00667526">
              <w:rPr>
                <w:rFonts w:ascii="Arial" w:eastAsia="Times New Roman" w:hAnsi="Arial" w:cs="Arial"/>
                <w:b/>
                <w:bCs/>
                <w:color w:val="000000"/>
                <w:sz w:val="18"/>
                <w:szCs w:val="18"/>
              </w:rPr>
              <w:t>birth rate</w:t>
            </w:r>
          </w:p>
        </w:tc>
        <w:tc>
          <w:tcPr>
            <w:tcW w:w="0" w:type="auto"/>
            <w:vAlign w:val="center"/>
            <w:hideMark/>
          </w:tcPr>
          <w:p w:rsidR="00667526" w:rsidRPr="00667526" w:rsidRDefault="00667526" w:rsidP="00667526">
            <w:pPr>
              <w:rPr>
                <w:rFonts w:ascii="Arial" w:eastAsia="Times New Roman" w:hAnsi="Arial" w:cs="Arial"/>
                <w:color w:val="000000"/>
                <w:sz w:val="18"/>
                <w:szCs w:val="18"/>
              </w:rPr>
            </w:pPr>
            <w:r w:rsidRPr="00667526">
              <w:rPr>
                <w:rFonts w:ascii="Arial" w:eastAsia="Times New Roman" w:hAnsi="Arial" w:cs="Arial"/>
                <w:color w:val="000000"/>
                <w:sz w:val="18"/>
                <w:szCs w:val="18"/>
              </w:rPr>
              <w:t>Annual number of live births per 1,000 people in the population of a geographic area at the midpoint of a given year. Compare crude death rate. See crude birth rate.</w:t>
            </w:r>
          </w:p>
        </w:tc>
      </w:tr>
      <w:tr w:rsidR="00667526" w:rsidRPr="00667526" w:rsidTr="00667526">
        <w:trPr>
          <w:tblCellSpacing w:w="0" w:type="dxa"/>
        </w:trPr>
        <w:tc>
          <w:tcPr>
            <w:tcW w:w="750" w:type="pct"/>
            <w:hideMark/>
          </w:tcPr>
          <w:p w:rsidR="00667526" w:rsidRPr="00667526" w:rsidRDefault="00667526" w:rsidP="00667526">
            <w:pPr>
              <w:rPr>
                <w:rFonts w:ascii="Arial" w:eastAsia="Times New Roman" w:hAnsi="Arial" w:cs="Arial"/>
                <w:b/>
                <w:bCs/>
                <w:color w:val="000000"/>
                <w:sz w:val="18"/>
                <w:szCs w:val="18"/>
              </w:rPr>
            </w:pPr>
            <w:r w:rsidRPr="00667526">
              <w:rPr>
                <w:rFonts w:ascii="Arial" w:eastAsia="Times New Roman" w:hAnsi="Arial" w:cs="Arial"/>
                <w:b/>
                <w:bCs/>
                <w:color w:val="000000"/>
                <w:sz w:val="18"/>
                <w:szCs w:val="18"/>
              </w:rPr>
              <w:t>crude birth rate</w:t>
            </w:r>
          </w:p>
        </w:tc>
        <w:tc>
          <w:tcPr>
            <w:tcW w:w="0" w:type="auto"/>
            <w:vAlign w:val="center"/>
            <w:hideMark/>
          </w:tcPr>
          <w:p w:rsidR="00667526" w:rsidRPr="00667526" w:rsidRDefault="00667526" w:rsidP="00667526">
            <w:pPr>
              <w:rPr>
                <w:rFonts w:ascii="Arial" w:eastAsia="Times New Roman" w:hAnsi="Arial" w:cs="Arial"/>
                <w:color w:val="000000"/>
                <w:sz w:val="18"/>
                <w:szCs w:val="18"/>
              </w:rPr>
            </w:pPr>
            <w:r w:rsidRPr="00667526">
              <w:rPr>
                <w:rFonts w:ascii="Arial" w:eastAsia="Times New Roman" w:hAnsi="Arial" w:cs="Arial"/>
                <w:color w:val="000000"/>
                <w:sz w:val="18"/>
                <w:szCs w:val="18"/>
              </w:rPr>
              <w:t>Annual number of live births per 1,000 people in the population of a geographic area at the midpoint of a given year. Compare crude death rate.</w:t>
            </w:r>
          </w:p>
        </w:tc>
      </w:tr>
      <w:tr w:rsidR="00667526" w:rsidRPr="00667526" w:rsidTr="00667526">
        <w:trPr>
          <w:tblCellSpacing w:w="0" w:type="dxa"/>
        </w:trPr>
        <w:tc>
          <w:tcPr>
            <w:tcW w:w="750" w:type="pct"/>
            <w:hideMark/>
          </w:tcPr>
          <w:p w:rsidR="00667526" w:rsidRPr="00667526" w:rsidRDefault="00667526" w:rsidP="00667526">
            <w:pPr>
              <w:rPr>
                <w:rFonts w:ascii="Arial" w:eastAsia="Times New Roman" w:hAnsi="Arial" w:cs="Arial"/>
                <w:b/>
                <w:bCs/>
                <w:color w:val="000000"/>
                <w:sz w:val="18"/>
                <w:szCs w:val="18"/>
              </w:rPr>
            </w:pPr>
            <w:r w:rsidRPr="00667526">
              <w:rPr>
                <w:rFonts w:ascii="Arial" w:eastAsia="Times New Roman" w:hAnsi="Arial" w:cs="Arial"/>
                <w:b/>
                <w:bCs/>
                <w:color w:val="000000"/>
                <w:sz w:val="18"/>
                <w:szCs w:val="18"/>
              </w:rPr>
              <w:t>crude death rate</w:t>
            </w:r>
          </w:p>
        </w:tc>
        <w:tc>
          <w:tcPr>
            <w:tcW w:w="0" w:type="auto"/>
            <w:vAlign w:val="center"/>
            <w:hideMark/>
          </w:tcPr>
          <w:p w:rsidR="00667526" w:rsidRPr="00667526" w:rsidRDefault="00667526" w:rsidP="00667526">
            <w:pPr>
              <w:rPr>
                <w:rFonts w:ascii="Arial" w:eastAsia="Times New Roman" w:hAnsi="Arial" w:cs="Arial"/>
                <w:color w:val="000000"/>
                <w:sz w:val="18"/>
                <w:szCs w:val="18"/>
              </w:rPr>
            </w:pPr>
            <w:r w:rsidRPr="00667526">
              <w:rPr>
                <w:rFonts w:ascii="Arial" w:eastAsia="Times New Roman" w:hAnsi="Arial" w:cs="Arial"/>
                <w:color w:val="000000"/>
                <w:sz w:val="18"/>
                <w:szCs w:val="18"/>
              </w:rPr>
              <w:t>Annual number of deaths per 1,000 people in the population of a geographic area at the midpoint of a given year. Compare crude birth rate.</w:t>
            </w:r>
          </w:p>
        </w:tc>
      </w:tr>
      <w:tr w:rsidR="00667526" w:rsidRPr="00667526" w:rsidTr="00667526">
        <w:trPr>
          <w:tblCellSpacing w:w="0" w:type="dxa"/>
        </w:trPr>
        <w:tc>
          <w:tcPr>
            <w:tcW w:w="750" w:type="pct"/>
            <w:hideMark/>
          </w:tcPr>
          <w:p w:rsidR="00667526" w:rsidRPr="00667526" w:rsidRDefault="00667526" w:rsidP="00667526">
            <w:pPr>
              <w:rPr>
                <w:rFonts w:ascii="Arial" w:eastAsia="Times New Roman" w:hAnsi="Arial" w:cs="Arial"/>
                <w:b/>
                <w:bCs/>
                <w:color w:val="000000"/>
                <w:sz w:val="18"/>
                <w:szCs w:val="18"/>
              </w:rPr>
            </w:pPr>
            <w:r w:rsidRPr="00667526">
              <w:rPr>
                <w:rFonts w:ascii="Arial" w:eastAsia="Times New Roman" w:hAnsi="Arial" w:cs="Arial"/>
                <w:b/>
                <w:bCs/>
                <w:color w:val="000000"/>
                <w:sz w:val="18"/>
                <w:szCs w:val="18"/>
              </w:rPr>
              <w:t>cultural carrying capacity</w:t>
            </w:r>
          </w:p>
        </w:tc>
        <w:tc>
          <w:tcPr>
            <w:tcW w:w="0" w:type="auto"/>
            <w:vAlign w:val="center"/>
            <w:hideMark/>
          </w:tcPr>
          <w:p w:rsidR="00667526" w:rsidRPr="00667526" w:rsidRDefault="00667526" w:rsidP="00667526">
            <w:pPr>
              <w:rPr>
                <w:rFonts w:ascii="Arial" w:eastAsia="Times New Roman" w:hAnsi="Arial" w:cs="Arial"/>
                <w:color w:val="000000"/>
                <w:sz w:val="18"/>
                <w:szCs w:val="18"/>
              </w:rPr>
            </w:pPr>
            <w:r w:rsidRPr="00667526">
              <w:rPr>
                <w:rFonts w:ascii="Arial" w:eastAsia="Times New Roman" w:hAnsi="Arial" w:cs="Arial"/>
                <w:color w:val="000000"/>
                <w:sz w:val="18"/>
                <w:szCs w:val="18"/>
              </w:rPr>
              <w:t>The limit on population growth that would allow most people in an area or the world to live in reasonable comfort and freedom without impairing the ability of the planet to sustain future generations. Compare carrying capacity.</w:t>
            </w:r>
          </w:p>
        </w:tc>
      </w:tr>
      <w:tr w:rsidR="00667526" w:rsidRPr="00667526" w:rsidTr="00667526">
        <w:trPr>
          <w:tblCellSpacing w:w="0" w:type="dxa"/>
        </w:trPr>
        <w:tc>
          <w:tcPr>
            <w:tcW w:w="750" w:type="pct"/>
            <w:hideMark/>
          </w:tcPr>
          <w:p w:rsidR="00667526" w:rsidRPr="00667526" w:rsidRDefault="00667526" w:rsidP="00667526">
            <w:pPr>
              <w:rPr>
                <w:rFonts w:ascii="Arial" w:eastAsia="Times New Roman" w:hAnsi="Arial" w:cs="Arial"/>
                <w:b/>
                <w:bCs/>
                <w:color w:val="000000"/>
                <w:sz w:val="18"/>
                <w:szCs w:val="18"/>
              </w:rPr>
            </w:pPr>
            <w:r w:rsidRPr="00667526">
              <w:rPr>
                <w:rFonts w:ascii="Arial" w:eastAsia="Times New Roman" w:hAnsi="Arial" w:cs="Arial"/>
                <w:b/>
                <w:bCs/>
                <w:color w:val="000000"/>
                <w:sz w:val="18"/>
                <w:szCs w:val="18"/>
              </w:rPr>
              <w:t>demographic transition</w:t>
            </w:r>
          </w:p>
        </w:tc>
        <w:tc>
          <w:tcPr>
            <w:tcW w:w="0" w:type="auto"/>
            <w:vAlign w:val="center"/>
            <w:hideMark/>
          </w:tcPr>
          <w:p w:rsidR="00667526" w:rsidRPr="00667526" w:rsidRDefault="00667526" w:rsidP="00667526">
            <w:pPr>
              <w:rPr>
                <w:rFonts w:ascii="Arial" w:eastAsia="Times New Roman" w:hAnsi="Arial" w:cs="Arial"/>
                <w:color w:val="000000"/>
                <w:sz w:val="18"/>
                <w:szCs w:val="18"/>
              </w:rPr>
            </w:pPr>
            <w:r w:rsidRPr="00667526">
              <w:rPr>
                <w:rFonts w:ascii="Arial" w:eastAsia="Times New Roman" w:hAnsi="Arial" w:cs="Arial"/>
                <w:color w:val="000000"/>
                <w:sz w:val="18"/>
                <w:szCs w:val="18"/>
              </w:rPr>
              <w:t>Hypothesis that countries, as they become industrialized, have declines in death rates followed by declines in birth rates.</w:t>
            </w:r>
          </w:p>
        </w:tc>
      </w:tr>
      <w:tr w:rsidR="00667526" w:rsidRPr="00667526" w:rsidTr="00667526">
        <w:trPr>
          <w:tblCellSpacing w:w="0" w:type="dxa"/>
        </w:trPr>
        <w:tc>
          <w:tcPr>
            <w:tcW w:w="750" w:type="pct"/>
            <w:hideMark/>
          </w:tcPr>
          <w:p w:rsidR="00667526" w:rsidRPr="00667526" w:rsidRDefault="00667526" w:rsidP="00667526">
            <w:pPr>
              <w:rPr>
                <w:rFonts w:ascii="Arial" w:eastAsia="Times New Roman" w:hAnsi="Arial" w:cs="Arial"/>
                <w:b/>
                <w:bCs/>
                <w:color w:val="000000"/>
                <w:sz w:val="18"/>
                <w:szCs w:val="18"/>
              </w:rPr>
            </w:pPr>
            <w:r w:rsidRPr="00667526">
              <w:rPr>
                <w:rFonts w:ascii="Arial" w:eastAsia="Times New Roman" w:hAnsi="Arial" w:cs="Arial"/>
                <w:b/>
                <w:bCs/>
                <w:color w:val="000000"/>
                <w:sz w:val="18"/>
                <w:szCs w:val="18"/>
              </w:rPr>
              <w:t>erosion</w:t>
            </w:r>
          </w:p>
        </w:tc>
        <w:tc>
          <w:tcPr>
            <w:tcW w:w="0" w:type="auto"/>
            <w:vAlign w:val="center"/>
            <w:hideMark/>
          </w:tcPr>
          <w:p w:rsidR="00667526" w:rsidRPr="00667526" w:rsidRDefault="00667526" w:rsidP="00667526">
            <w:pPr>
              <w:rPr>
                <w:rFonts w:ascii="Arial" w:eastAsia="Times New Roman" w:hAnsi="Arial" w:cs="Arial"/>
                <w:color w:val="000000"/>
                <w:sz w:val="18"/>
                <w:szCs w:val="18"/>
              </w:rPr>
            </w:pPr>
            <w:r w:rsidRPr="00667526">
              <w:rPr>
                <w:rFonts w:ascii="Arial" w:eastAsia="Times New Roman" w:hAnsi="Arial" w:cs="Arial"/>
                <w:color w:val="000000"/>
                <w:sz w:val="18"/>
                <w:szCs w:val="18"/>
              </w:rPr>
              <w:t>Process or group of processes by which loose or consolidated earth materials, especially topsoil, are dissolved, loosened, or worn away and removed from one place and deposited in another. See weathering.</w:t>
            </w:r>
          </w:p>
        </w:tc>
      </w:tr>
      <w:tr w:rsidR="00667526" w:rsidRPr="00667526" w:rsidTr="00667526">
        <w:trPr>
          <w:tblCellSpacing w:w="0" w:type="dxa"/>
        </w:trPr>
        <w:tc>
          <w:tcPr>
            <w:tcW w:w="750" w:type="pct"/>
            <w:hideMark/>
          </w:tcPr>
          <w:p w:rsidR="00667526" w:rsidRPr="00667526" w:rsidRDefault="00667526" w:rsidP="00667526">
            <w:pPr>
              <w:rPr>
                <w:rFonts w:ascii="Arial" w:eastAsia="Times New Roman" w:hAnsi="Arial" w:cs="Arial"/>
                <w:b/>
                <w:bCs/>
                <w:color w:val="000000"/>
                <w:sz w:val="18"/>
                <w:szCs w:val="18"/>
              </w:rPr>
            </w:pPr>
            <w:r w:rsidRPr="00667526">
              <w:rPr>
                <w:rFonts w:ascii="Arial" w:eastAsia="Times New Roman" w:hAnsi="Arial" w:cs="Arial"/>
                <w:b/>
                <w:bCs/>
                <w:color w:val="000000"/>
                <w:sz w:val="18"/>
                <w:szCs w:val="18"/>
              </w:rPr>
              <w:t>family planning</w:t>
            </w:r>
          </w:p>
        </w:tc>
        <w:tc>
          <w:tcPr>
            <w:tcW w:w="0" w:type="auto"/>
            <w:vAlign w:val="center"/>
            <w:hideMark/>
          </w:tcPr>
          <w:p w:rsidR="00667526" w:rsidRPr="00667526" w:rsidRDefault="00667526" w:rsidP="00667526">
            <w:pPr>
              <w:rPr>
                <w:rFonts w:ascii="Arial" w:eastAsia="Times New Roman" w:hAnsi="Arial" w:cs="Arial"/>
                <w:color w:val="000000"/>
                <w:sz w:val="18"/>
                <w:szCs w:val="18"/>
              </w:rPr>
            </w:pPr>
            <w:r w:rsidRPr="00667526">
              <w:rPr>
                <w:rFonts w:ascii="Arial" w:eastAsia="Times New Roman" w:hAnsi="Arial" w:cs="Arial"/>
                <w:color w:val="000000"/>
                <w:sz w:val="18"/>
                <w:szCs w:val="18"/>
              </w:rPr>
              <w:t>Providing information, clinical services, and contraceptives to help people choose the number and spacing of children they want to have.</w:t>
            </w:r>
          </w:p>
        </w:tc>
      </w:tr>
      <w:tr w:rsidR="00667526" w:rsidRPr="00667526" w:rsidTr="00667526">
        <w:trPr>
          <w:tblCellSpacing w:w="0" w:type="dxa"/>
        </w:trPr>
        <w:tc>
          <w:tcPr>
            <w:tcW w:w="750" w:type="pct"/>
            <w:hideMark/>
          </w:tcPr>
          <w:p w:rsidR="00667526" w:rsidRPr="00667526" w:rsidRDefault="00667526" w:rsidP="00667526">
            <w:pPr>
              <w:rPr>
                <w:rFonts w:ascii="Arial" w:eastAsia="Times New Roman" w:hAnsi="Arial" w:cs="Arial"/>
                <w:b/>
                <w:bCs/>
                <w:color w:val="000000"/>
                <w:sz w:val="18"/>
                <w:szCs w:val="18"/>
              </w:rPr>
            </w:pPr>
            <w:r w:rsidRPr="00667526">
              <w:rPr>
                <w:rFonts w:ascii="Arial" w:eastAsia="Times New Roman" w:hAnsi="Arial" w:cs="Arial"/>
                <w:b/>
                <w:bCs/>
                <w:color w:val="000000"/>
                <w:sz w:val="18"/>
                <w:szCs w:val="18"/>
              </w:rPr>
              <w:t>fertility rate</w:t>
            </w:r>
          </w:p>
        </w:tc>
        <w:tc>
          <w:tcPr>
            <w:tcW w:w="0" w:type="auto"/>
            <w:vAlign w:val="center"/>
            <w:hideMark/>
          </w:tcPr>
          <w:p w:rsidR="00667526" w:rsidRPr="00667526" w:rsidRDefault="00667526" w:rsidP="00667526">
            <w:pPr>
              <w:rPr>
                <w:rFonts w:ascii="Arial" w:eastAsia="Times New Roman" w:hAnsi="Arial" w:cs="Arial"/>
                <w:color w:val="000000"/>
                <w:sz w:val="18"/>
                <w:szCs w:val="18"/>
              </w:rPr>
            </w:pPr>
            <w:r w:rsidRPr="00667526">
              <w:rPr>
                <w:rFonts w:ascii="Arial" w:eastAsia="Times New Roman" w:hAnsi="Arial" w:cs="Arial"/>
                <w:color w:val="000000"/>
                <w:sz w:val="18"/>
                <w:szCs w:val="18"/>
              </w:rPr>
              <w:t>Number of children born to an average woman in a population during her lifetime. Compare replacement-level fertility.</w:t>
            </w:r>
          </w:p>
        </w:tc>
      </w:tr>
      <w:tr w:rsidR="00667526" w:rsidRPr="00667526" w:rsidTr="00667526">
        <w:trPr>
          <w:tblCellSpacing w:w="0" w:type="dxa"/>
        </w:trPr>
        <w:tc>
          <w:tcPr>
            <w:tcW w:w="750" w:type="pct"/>
            <w:hideMark/>
          </w:tcPr>
          <w:p w:rsidR="00667526" w:rsidRPr="00667526" w:rsidRDefault="00667526" w:rsidP="00667526">
            <w:pPr>
              <w:rPr>
                <w:rFonts w:ascii="Arial" w:eastAsia="Times New Roman" w:hAnsi="Arial" w:cs="Arial"/>
                <w:b/>
                <w:bCs/>
                <w:color w:val="000000"/>
                <w:sz w:val="18"/>
                <w:szCs w:val="18"/>
              </w:rPr>
            </w:pPr>
            <w:r w:rsidRPr="00667526">
              <w:rPr>
                <w:rFonts w:ascii="Arial" w:eastAsia="Times New Roman" w:hAnsi="Arial" w:cs="Arial"/>
                <w:b/>
                <w:bCs/>
                <w:color w:val="000000"/>
                <w:sz w:val="18"/>
                <w:szCs w:val="18"/>
              </w:rPr>
              <w:t>infant mortality rate</w:t>
            </w:r>
          </w:p>
        </w:tc>
        <w:tc>
          <w:tcPr>
            <w:tcW w:w="0" w:type="auto"/>
            <w:vAlign w:val="center"/>
            <w:hideMark/>
          </w:tcPr>
          <w:p w:rsidR="00667526" w:rsidRPr="00667526" w:rsidRDefault="00667526" w:rsidP="00667526">
            <w:pPr>
              <w:rPr>
                <w:rFonts w:ascii="Arial" w:eastAsia="Times New Roman" w:hAnsi="Arial" w:cs="Arial"/>
                <w:color w:val="000000"/>
                <w:sz w:val="18"/>
                <w:szCs w:val="18"/>
              </w:rPr>
            </w:pPr>
            <w:r w:rsidRPr="00667526">
              <w:rPr>
                <w:rFonts w:ascii="Arial" w:eastAsia="Times New Roman" w:hAnsi="Arial" w:cs="Arial"/>
                <w:color w:val="000000"/>
                <w:sz w:val="18"/>
                <w:szCs w:val="18"/>
              </w:rPr>
              <w:t>Number of babies out of every 1,000 born each year who die before their first birthday.</w:t>
            </w:r>
          </w:p>
        </w:tc>
      </w:tr>
      <w:tr w:rsidR="00667526" w:rsidRPr="00667526" w:rsidTr="00667526">
        <w:trPr>
          <w:tblCellSpacing w:w="0" w:type="dxa"/>
        </w:trPr>
        <w:tc>
          <w:tcPr>
            <w:tcW w:w="750" w:type="pct"/>
            <w:hideMark/>
          </w:tcPr>
          <w:p w:rsidR="00667526" w:rsidRPr="00667526" w:rsidRDefault="00667526" w:rsidP="00667526">
            <w:pPr>
              <w:rPr>
                <w:rFonts w:ascii="Arial" w:eastAsia="Times New Roman" w:hAnsi="Arial" w:cs="Arial"/>
                <w:b/>
                <w:bCs/>
                <w:color w:val="000000"/>
                <w:sz w:val="18"/>
                <w:szCs w:val="18"/>
              </w:rPr>
            </w:pPr>
            <w:r w:rsidRPr="00667526">
              <w:rPr>
                <w:rFonts w:ascii="Arial" w:eastAsia="Times New Roman" w:hAnsi="Arial" w:cs="Arial"/>
                <w:b/>
                <w:bCs/>
                <w:color w:val="000000"/>
                <w:sz w:val="18"/>
                <w:szCs w:val="18"/>
              </w:rPr>
              <w:t>life expectancy</w:t>
            </w:r>
          </w:p>
        </w:tc>
        <w:tc>
          <w:tcPr>
            <w:tcW w:w="0" w:type="auto"/>
            <w:vAlign w:val="center"/>
            <w:hideMark/>
          </w:tcPr>
          <w:p w:rsidR="00667526" w:rsidRPr="00667526" w:rsidRDefault="00667526" w:rsidP="00667526">
            <w:pPr>
              <w:rPr>
                <w:rFonts w:ascii="Arial" w:eastAsia="Times New Roman" w:hAnsi="Arial" w:cs="Arial"/>
                <w:color w:val="000000"/>
                <w:sz w:val="18"/>
                <w:szCs w:val="18"/>
              </w:rPr>
            </w:pPr>
            <w:r w:rsidRPr="00667526">
              <w:rPr>
                <w:rFonts w:ascii="Arial" w:eastAsia="Times New Roman" w:hAnsi="Arial" w:cs="Arial"/>
                <w:color w:val="000000"/>
                <w:sz w:val="18"/>
                <w:szCs w:val="18"/>
              </w:rPr>
              <w:t>Average number of years a newborn infant can be expected to live.</w:t>
            </w:r>
          </w:p>
        </w:tc>
      </w:tr>
      <w:tr w:rsidR="00667526" w:rsidRPr="00667526" w:rsidTr="00667526">
        <w:trPr>
          <w:tblCellSpacing w:w="0" w:type="dxa"/>
        </w:trPr>
        <w:tc>
          <w:tcPr>
            <w:tcW w:w="750" w:type="pct"/>
            <w:hideMark/>
          </w:tcPr>
          <w:p w:rsidR="00667526" w:rsidRPr="00667526" w:rsidRDefault="00667526" w:rsidP="00667526">
            <w:pPr>
              <w:rPr>
                <w:rFonts w:ascii="Arial" w:eastAsia="Times New Roman" w:hAnsi="Arial" w:cs="Arial"/>
                <w:b/>
                <w:bCs/>
                <w:color w:val="000000"/>
                <w:sz w:val="18"/>
                <w:szCs w:val="18"/>
              </w:rPr>
            </w:pPr>
            <w:r w:rsidRPr="00667526">
              <w:rPr>
                <w:rFonts w:ascii="Arial" w:eastAsia="Times New Roman" w:hAnsi="Arial" w:cs="Arial"/>
                <w:b/>
                <w:bCs/>
                <w:color w:val="000000"/>
                <w:sz w:val="18"/>
                <w:szCs w:val="18"/>
              </w:rPr>
              <w:t>migration</w:t>
            </w:r>
          </w:p>
        </w:tc>
        <w:tc>
          <w:tcPr>
            <w:tcW w:w="0" w:type="auto"/>
            <w:vAlign w:val="center"/>
            <w:hideMark/>
          </w:tcPr>
          <w:p w:rsidR="00667526" w:rsidRPr="00667526" w:rsidRDefault="00667526" w:rsidP="00667526">
            <w:pPr>
              <w:rPr>
                <w:rFonts w:ascii="Arial" w:eastAsia="Times New Roman" w:hAnsi="Arial" w:cs="Arial"/>
                <w:color w:val="000000"/>
                <w:sz w:val="18"/>
                <w:szCs w:val="18"/>
              </w:rPr>
            </w:pPr>
            <w:r w:rsidRPr="00667526">
              <w:rPr>
                <w:rFonts w:ascii="Arial" w:eastAsia="Times New Roman" w:hAnsi="Arial" w:cs="Arial"/>
                <w:color w:val="000000"/>
                <w:sz w:val="18"/>
                <w:szCs w:val="18"/>
              </w:rPr>
              <w:t>Movement of people into and out of specific geographic areas. Compare emigration and immigration.</w:t>
            </w:r>
          </w:p>
        </w:tc>
      </w:tr>
      <w:tr w:rsidR="00667526" w:rsidRPr="00667526" w:rsidTr="00667526">
        <w:trPr>
          <w:tblCellSpacing w:w="0" w:type="dxa"/>
        </w:trPr>
        <w:tc>
          <w:tcPr>
            <w:tcW w:w="750" w:type="pct"/>
            <w:hideMark/>
          </w:tcPr>
          <w:p w:rsidR="00667526" w:rsidRPr="00667526" w:rsidRDefault="00667526" w:rsidP="00667526">
            <w:pPr>
              <w:rPr>
                <w:rFonts w:ascii="Arial" w:eastAsia="Times New Roman" w:hAnsi="Arial" w:cs="Arial"/>
                <w:b/>
                <w:bCs/>
                <w:color w:val="000000"/>
                <w:sz w:val="18"/>
                <w:szCs w:val="18"/>
              </w:rPr>
            </w:pPr>
            <w:r w:rsidRPr="00667526">
              <w:rPr>
                <w:rFonts w:ascii="Arial" w:eastAsia="Times New Roman" w:hAnsi="Arial" w:cs="Arial"/>
                <w:b/>
                <w:bCs/>
                <w:color w:val="000000"/>
                <w:sz w:val="18"/>
                <w:szCs w:val="18"/>
              </w:rPr>
              <w:t>population change</w:t>
            </w:r>
          </w:p>
        </w:tc>
        <w:tc>
          <w:tcPr>
            <w:tcW w:w="0" w:type="auto"/>
            <w:vAlign w:val="center"/>
            <w:hideMark/>
          </w:tcPr>
          <w:p w:rsidR="00667526" w:rsidRPr="00667526" w:rsidRDefault="00667526" w:rsidP="00667526">
            <w:pPr>
              <w:rPr>
                <w:rFonts w:ascii="Arial" w:eastAsia="Times New Roman" w:hAnsi="Arial" w:cs="Arial"/>
                <w:color w:val="000000"/>
                <w:sz w:val="18"/>
                <w:szCs w:val="18"/>
              </w:rPr>
            </w:pPr>
            <w:r w:rsidRPr="00667526">
              <w:rPr>
                <w:rFonts w:ascii="Arial" w:eastAsia="Times New Roman" w:hAnsi="Arial" w:cs="Arial"/>
                <w:color w:val="000000"/>
                <w:sz w:val="18"/>
                <w:szCs w:val="18"/>
              </w:rPr>
              <w:t>Increase or decrease in the size of a population. It is equal to (Births + Immigration</w:t>
            </w:r>
            <w:proofErr w:type="gramStart"/>
            <w:r w:rsidRPr="00667526">
              <w:rPr>
                <w:rFonts w:ascii="Arial" w:eastAsia="Times New Roman" w:hAnsi="Arial" w:cs="Arial"/>
                <w:color w:val="000000"/>
                <w:sz w:val="18"/>
                <w:szCs w:val="18"/>
              </w:rPr>
              <w:t>) ?</w:t>
            </w:r>
            <w:proofErr w:type="gramEnd"/>
            <w:r w:rsidRPr="00667526">
              <w:rPr>
                <w:rFonts w:ascii="Arial" w:eastAsia="Times New Roman" w:hAnsi="Arial" w:cs="Arial"/>
                <w:color w:val="000000"/>
                <w:sz w:val="18"/>
                <w:szCs w:val="18"/>
              </w:rPr>
              <w:t xml:space="preserve"> (Deaths + Emigration).</w:t>
            </w:r>
          </w:p>
        </w:tc>
      </w:tr>
      <w:tr w:rsidR="00667526" w:rsidRPr="00667526" w:rsidTr="00667526">
        <w:trPr>
          <w:tblCellSpacing w:w="0" w:type="dxa"/>
        </w:trPr>
        <w:tc>
          <w:tcPr>
            <w:tcW w:w="750" w:type="pct"/>
            <w:hideMark/>
          </w:tcPr>
          <w:p w:rsidR="00667526" w:rsidRPr="00667526" w:rsidRDefault="00667526" w:rsidP="00667526">
            <w:pPr>
              <w:rPr>
                <w:rFonts w:ascii="Arial" w:eastAsia="Times New Roman" w:hAnsi="Arial" w:cs="Arial"/>
                <w:b/>
                <w:bCs/>
                <w:color w:val="000000"/>
                <w:sz w:val="18"/>
                <w:szCs w:val="18"/>
              </w:rPr>
            </w:pPr>
            <w:r w:rsidRPr="00667526">
              <w:rPr>
                <w:rFonts w:ascii="Arial" w:eastAsia="Times New Roman" w:hAnsi="Arial" w:cs="Arial"/>
                <w:b/>
                <w:bCs/>
                <w:color w:val="000000"/>
                <w:sz w:val="18"/>
                <w:szCs w:val="18"/>
              </w:rPr>
              <w:t>total fertility rate (TFR)</w:t>
            </w:r>
          </w:p>
        </w:tc>
        <w:tc>
          <w:tcPr>
            <w:tcW w:w="0" w:type="auto"/>
            <w:vAlign w:val="center"/>
            <w:hideMark/>
          </w:tcPr>
          <w:p w:rsidR="00667526" w:rsidRPr="00667526" w:rsidRDefault="00667526" w:rsidP="00667526">
            <w:pPr>
              <w:rPr>
                <w:rFonts w:ascii="Arial" w:eastAsia="Times New Roman" w:hAnsi="Arial" w:cs="Arial"/>
                <w:color w:val="000000"/>
                <w:sz w:val="18"/>
                <w:szCs w:val="18"/>
              </w:rPr>
            </w:pPr>
            <w:r w:rsidRPr="00667526">
              <w:rPr>
                <w:rFonts w:ascii="Arial" w:eastAsia="Times New Roman" w:hAnsi="Arial" w:cs="Arial"/>
                <w:color w:val="000000"/>
                <w:sz w:val="18"/>
                <w:szCs w:val="18"/>
              </w:rPr>
              <w:t>Estimate of the average number of children who will be born alive to a woman during her lifetime if she passes through all her childbearing years (ages 15?44) conforming to age-specific fertility rates of a given year. More simply, it is an estimate of the average number of children that women in a given population will have during their childbearing years.</w:t>
            </w:r>
          </w:p>
        </w:tc>
      </w:tr>
      <w:tr w:rsidR="00667526" w:rsidRPr="00667526" w:rsidTr="00667526">
        <w:trPr>
          <w:tblCellSpacing w:w="0" w:type="dxa"/>
        </w:trPr>
        <w:tc>
          <w:tcPr>
            <w:tcW w:w="750" w:type="pct"/>
            <w:hideMark/>
          </w:tcPr>
          <w:p w:rsidR="00667526" w:rsidRPr="00667526" w:rsidRDefault="00667526" w:rsidP="00667526">
            <w:pPr>
              <w:rPr>
                <w:rFonts w:ascii="Arial" w:eastAsia="Times New Roman" w:hAnsi="Arial" w:cs="Arial"/>
                <w:b/>
                <w:bCs/>
                <w:color w:val="000000"/>
                <w:sz w:val="18"/>
                <w:szCs w:val="18"/>
              </w:rPr>
            </w:pPr>
            <w:r w:rsidRPr="00667526">
              <w:rPr>
                <w:rFonts w:ascii="Arial" w:eastAsia="Times New Roman" w:hAnsi="Arial" w:cs="Arial"/>
                <w:b/>
                <w:bCs/>
                <w:color w:val="000000"/>
                <w:sz w:val="18"/>
                <w:szCs w:val="18"/>
              </w:rPr>
              <w:t>undernutrition</w:t>
            </w:r>
          </w:p>
        </w:tc>
        <w:tc>
          <w:tcPr>
            <w:tcW w:w="0" w:type="auto"/>
            <w:vAlign w:val="center"/>
            <w:hideMark/>
          </w:tcPr>
          <w:p w:rsidR="00667526" w:rsidRPr="00667526" w:rsidRDefault="00667526" w:rsidP="00667526">
            <w:pPr>
              <w:rPr>
                <w:rFonts w:ascii="Arial" w:eastAsia="Times New Roman" w:hAnsi="Arial" w:cs="Arial"/>
                <w:color w:val="000000"/>
                <w:sz w:val="18"/>
                <w:szCs w:val="18"/>
              </w:rPr>
            </w:pPr>
            <w:r w:rsidRPr="00667526">
              <w:rPr>
                <w:rFonts w:ascii="Arial" w:eastAsia="Times New Roman" w:hAnsi="Arial" w:cs="Arial"/>
                <w:color w:val="000000"/>
                <w:sz w:val="18"/>
                <w:szCs w:val="18"/>
              </w:rPr>
              <w:t>Condition suffered by people who cannot grow or buy enough food to meet their basic energy needs. Most chronically undernourished children live in developing countries and are likely to suffer from mental retardation and stunted growth and to die from infectious diseases. Compare chronic malnutrition, overnutrition. See chronic undernutrition.</w:t>
            </w:r>
          </w:p>
        </w:tc>
      </w:tr>
    </w:tbl>
    <w:p w:rsidR="00FB740F" w:rsidRDefault="00667526">
      <w:bookmarkStart w:id="0" w:name="_GoBack"/>
      <w:bookmarkEnd w:id="0"/>
    </w:p>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26"/>
    <w:rsid w:val="00295585"/>
    <w:rsid w:val="00667526"/>
    <w:rsid w:val="00D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51B51-2552-ED41-A419-A01D05A2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2019-11-03T22:02:00Z</dcterms:created>
  <dcterms:modified xsi:type="dcterms:W3CDTF">2019-11-03T22:03:00Z</dcterms:modified>
</cp:coreProperties>
</file>